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29"/>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1429"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投标报价（60分）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（1）价格分采用低价优先法计算，即满足招标文件要求且投标价格最低的投标报价为评标基准价，其价格分为满分。其他供应商的价格分统一按照下列公式计算：</w:t>
            </w:r>
          </w:p>
          <w:p>
            <w:pPr>
              <w:snapToGrid w:val="0"/>
              <w:spacing w:line="240" w:lineRule="auto"/>
              <w:rPr>
                <w:rFonts w:hint="eastAsia"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（2）投标报价得分=</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评标基准价/投标报价</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w:t>
            </w:r>
            <w:r>
              <w:rPr>
                <w:rFonts w:hint="eastAsia" w:ascii="宋体" w:hAnsi="宋体" w:eastAsia="宋体" w:cs="宋体"/>
                <w:snapToGrid/>
                <w:sz w:val="24"/>
                <w:szCs w:val="24"/>
                <w:vertAlign w:val="baseline"/>
                <w:lang w:val="en-US" w:eastAsia="zh-CN"/>
              </w:rPr>
              <w:t>60。</w:t>
            </w:r>
          </w:p>
          <w:p>
            <w:pPr>
              <w:snapToGrid w:val="0"/>
              <w:spacing w:line="240" w:lineRule="auto"/>
              <w:ind w:firstLine="480" w:firstLineChars="200"/>
              <w:rPr>
                <w:rFonts w:hint="default" w:ascii="宋体" w:hAnsi="宋体" w:eastAsia="宋体" w:cs="宋体"/>
                <w:snapToGrid/>
                <w:sz w:val="24"/>
                <w:szCs w:val="24"/>
                <w:vertAlign w:val="baseline"/>
                <w:lang w:val="en-US" w:eastAsia="zh-CN"/>
              </w:rPr>
            </w:pPr>
            <w:r>
              <w:rPr>
                <w:rFonts w:ascii="宋体" w:hAnsi="宋体" w:eastAsia="宋体" w:cs="宋体"/>
                <w:snapToGrid/>
                <w:sz w:val="24"/>
                <w:szCs w:val="24"/>
              </w:rPr>
              <w:t>有效供应商是指实质上响应招标文件要求并通过实质性审核的所有供应商。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技术参数</w:t>
            </w:r>
            <w:r>
              <w:rPr>
                <w:rFonts w:hint="eastAsia" w:ascii="宋体" w:hAnsi="宋体" w:eastAsia="宋体" w:cs="宋体"/>
                <w:snapToGrid/>
                <w:sz w:val="24"/>
                <w:szCs w:val="24"/>
                <w:vertAlign w:val="baseline"/>
                <w:lang w:val="en-US" w:eastAsia="zh-CN"/>
              </w:rPr>
              <w:t>（30分）</w:t>
            </w:r>
          </w:p>
        </w:tc>
        <w:tc>
          <w:tcPr>
            <w:tcW w:w="6347" w:type="dxa"/>
          </w:tcPr>
          <w:p>
            <w:pPr>
              <w:numPr>
                <w:ilvl w:val="0"/>
                <w:numId w:val="0"/>
              </w:numPr>
              <w:snapToGrid w:val="0"/>
              <w:spacing w:line="240" w:lineRule="auto"/>
              <w:ind w:firstLine="480" w:firstLineChars="200"/>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本项目技术参数不允许有任何负</w:t>
            </w:r>
            <w:r>
              <w:rPr>
                <w:rFonts w:ascii="宋体" w:hAnsi="宋体" w:eastAsia="宋体" w:cs="宋体"/>
                <w:snapToGrid/>
                <w:sz w:val="24"/>
                <w:szCs w:val="24"/>
              </w:rPr>
              <w:t>偏离</w:t>
            </w:r>
            <w:r>
              <w:rPr>
                <w:rFonts w:hint="eastAsia" w:ascii="宋体" w:hAnsi="宋体" w:eastAsia="宋体" w:cs="宋体"/>
                <w:snapToGrid/>
                <w:sz w:val="24"/>
                <w:szCs w:val="24"/>
                <w:lang w:eastAsia="zh-CN"/>
              </w:rPr>
              <w:t>，</w:t>
            </w:r>
            <w:r>
              <w:rPr>
                <w:rFonts w:hint="eastAsia" w:ascii="宋体" w:hAnsi="宋体" w:eastAsia="宋体" w:cs="宋体"/>
                <w:snapToGrid/>
                <w:sz w:val="24"/>
                <w:szCs w:val="24"/>
                <w:lang w:val="en-US" w:eastAsia="zh-CN"/>
              </w:rPr>
              <w:t>任何一项负偏离技术参数项得0分。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类似业绩</w:t>
            </w:r>
            <w:r>
              <w:rPr>
                <w:rFonts w:hint="eastAsia" w:ascii="宋体" w:hAnsi="宋体" w:eastAsia="宋体" w:cs="宋体"/>
                <w:snapToGrid/>
                <w:sz w:val="24"/>
                <w:szCs w:val="24"/>
                <w:vertAlign w:val="baseline"/>
                <w:lang w:val="en-US" w:eastAsia="zh-CN"/>
              </w:rPr>
              <w:t>（4分）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每提供1份近三年内同类货物供货项目业绩证明（如中标通知书或项目合同复印件），得</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分，最多得</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分；未提供或提供不全者不得分。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snapToGrid w:val="0"/>
              <w:spacing w:line="240" w:lineRule="auto"/>
              <w:jc w:val="center"/>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质保年限</w:t>
            </w:r>
            <w:r>
              <w:rPr>
                <w:rFonts w:hint="eastAsia" w:ascii="宋体" w:hAnsi="宋体" w:eastAsia="宋体" w:cs="宋体"/>
                <w:snapToGrid/>
                <w:sz w:val="24"/>
                <w:szCs w:val="24"/>
                <w:vertAlign w:val="baseline"/>
                <w:lang w:val="en-US" w:eastAsia="zh-CN"/>
              </w:rPr>
              <w:t>（2分）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承诺质保期不低于招标文件最低要求（1年）得</w:t>
            </w:r>
            <w:r>
              <w:rPr>
                <w:rFonts w:hint="eastAsia" w:ascii="宋体" w:hAnsi="宋体" w:eastAsia="宋体" w:cs="宋体"/>
                <w:snapToGrid/>
                <w:sz w:val="24"/>
                <w:szCs w:val="24"/>
                <w:vertAlign w:val="baseline"/>
                <w:lang w:val="en-US" w:eastAsia="zh-CN"/>
              </w:rPr>
              <w:t>0</w:t>
            </w:r>
            <w:r>
              <w:rPr>
                <w:rFonts w:hint="default" w:ascii="宋体" w:hAnsi="宋体" w:eastAsia="宋体" w:cs="宋体"/>
                <w:snapToGrid/>
                <w:sz w:val="24"/>
                <w:szCs w:val="24"/>
                <w:vertAlign w:val="baseline"/>
                <w:lang w:val="en-US" w:eastAsia="zh-CN"/>
              </w:rPr>
              <w:t>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承诺2年得</w:t>
            </w:r>
            <w:r>
              <w:rPr>
                <w:rFonts w:hint="eastAsia"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分，3年得</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标书目录和页码正确</w:t>
            </w:r>
            <w:r>
              <w:rPr>
                <w:rFonts w:hint="eastAsia" w:ascii="宋体" w:hAnsi="宋体" w:eastAsia="宋体" w:cs="宋体"/>
                <w:snapToGrid/>
                <w:sz w:val="24"/>
                <w:szCs w:val="24"/>
                <w:vertAlign w:val="baseline"/>
                <w:lang w:val="en-US" w:eastAsia="zh-CN"/>
              </w:rPr>
              <w:t>（2分）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投标文件提供清晰、完整的目录索引，且目录标题与正文内容一致、</w:t>
            </w:r>
            <w:r>
              <w:rPr>
                <w:rFonts w:hint="eastAsia" w:ascii="宋体" w:hAnsi="宋体" w:eastAsia="宋体" w:cs="宋体"/>
                <w:snapToGrid/>
                <w:sz w:val="24"/>
                <w:szCs w:val="24"/>
                <w:vertAlign w:val="baseline"/>
                <w:lang w:val="en-US" w:eastAsia="zh-CN"/>
              </w:rPr>
              <w:t>0</w:t>
            </w:r>
            <w:r>
              <w:rPr>
                <w:rFonts w:hint="default" w:ascii="宋体" w:hAnsi="宋体" w:eastAsia="宋体" w:cs="宋体"/>
                <w:snapToGrid/>
                <w:sz w:val="24"/>
                <w:szCs w:val="24"/>
                <w:vertAlign w:val="baseline"/>
                <w:lang w:val="en-US" w:eastAsia="zh-CN"/>
              </w:rPr>
              <w:t>页码准确对应，得2分；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目录存在少量错误但不影响主要内容查找的，得1分；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未提供目录或目录严重混乱无法定位内容的，不得分。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供货时间</w:t>
            </w:r>
            <w:r>
              <w:rPr>
                <w:rFonts w:hint="eastAsia" w:ascii="宋体" w:hAnsi="宋体" w:eastAsia="宋体" w:cs="宋体"/>
                <w:snapToGrid/>
                <w:sz w:val="24"/>
                <w:szCs w:val="24"/>
                <w:vertAlign w:val="baseline"/>
                <w:lang w:val="en-US" w:eastAsia="zh-CN"/>
              </w:rPr>
              <w:t>（2分）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供应商承诺的供货及安装期为</w:t>
            </w:r>
            <w:r>
              <w:rPr>
                <w:rFonts w:hint="eastAsia" w:ascii="宋体" w:hAnsi="宋体" w:eastAsia="宋体" w:cs="宋体"/>
                <w:snapToGrid/>
                <w:sz w:val="24"/>
                <w:szCs w:val="24"/>
                <w:vertAlign w:val="baseline"/>
                <w:lang w:val="en-US" w:eastAsia="zh-CN"/>
              </w:rPr>
              <w:t>15</w:t>
            </w:r>
            <w:r>
              <w:rPr>
                <w:rFonts w:hint="default" w:ascii="宋体" w:hAnsi="宋体" w:eastAsia="宋体" w:cs="宋体"/>
                <w:snapToGrid/>
                <w:sz w:val="24"/>
                <w:szCs w:val="24"/>
                <w:vertAlign w:val="baseline"/>
                <w:lang w:val="en-US" w:eastAsia="zh-CN"/>
              </w:rPr>
              <w:t>天的不得分，供货及安装期在</w:t>
            </w:r>
            <w:r>
              <w:rPr>
                <w:rFonts w:hint="eastAsia" w:ascii="宋体" w:hAnsi="宋体" w:eastAsia="宋体" w:cs="宋体"/>
                <w:snapToGrid/>
                <w:sz w:val="24"/>
                <w:szCs w:val="24"/>
                <w:vertAlign w:val="baseline"/>
                <w:lang w:val="en-US" w:eastAsia="zh-CN"/>
              </w:rPr>
              <w:t>10-15</w:t>
            </w:r>
            <w:r>
              <w:rPr>
                <w:rFonts w:hint="default" w:ascii="宋体" w:hAnsi="宋体" w:eastAsia="宋体" w:cs="宋体"/>
                <w:snapToGrid/>
                <w:sz w:val="24"/>
                <w:szCs w:val="24"/>
                <w:vertAlign w:val="baseline"/>
                <w:lang w:val="en-US" w:eastAsia="zh-CN"/>
              </w:rPr>
              <w:t>天的得1分；供货及安装期在</w:t>
            </w:r>
            <w:r>
              <w:rPr>
                <w:rFonts w:hint="eastAsia" w:ascii="宋体" w:hAnsi="宋体" w:eastAsia="宋体" w:cs="宋体"/>
                <w:snapToGrid/>
                <w:sz w:val="24"/>
                <w:szCs w:val="24"/>
                <w:vertAlign w:val="baseline"/>
                <w:lang w:val="en-US" w:eastAsia="zh-CN"/>
              </w:rPr>
              <w:t>5-9</w:t>
            </w:r>
            <w:r>
              <w:rPr>
                <w:rFonts w:hint="default" w:ascii="宋体" w:hAnsi="宋体" w:eastAsia="宋体" w:cs="宋体"/>
                <w:snapToGrid/>
                <w:sz w:val="24"/>
                <w:szCs w:val="24"/>
                <w:vertAlign w:val="baseline"/>
                <w:lang w:val="en-US" w:eastAsia="zh-CN"/>
              </w:rPr>
              <w:t>天的得2分；</w:t>
            </w:r>
          </w:p>
        </w:tc>
      </w:tr>
    </w:tbl>
    <w:p/>
    <w:p/>
    <w:p/>
    <w:p/>
    <w:p/>
    <w:p/>
    <w:p/>
    <w:p/>
    <w:p/>
    <w:p/>
    <w:p/>
    <w:p>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t>技术标准和要求</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widowControl/>
              <w:autoSpaceDE/>
              <w:autoSpaceDN/>
              <w:snapToGrid w:val="0"/>
              <w:spacing w:beforeAutospacing="0" w:afterAutospacing="0" w:line="240" w:lineRule="auto"/>
              <w:ind w:right="0" w:rightChars="0" w:firstLine="640" w:firstLineChars="200"/>
              <w:jc w:val="both"/>
              <w:outlineLvl w:val="9"/>
              <w:rPr>
                <w:rFonts w:hint="eastAsia" w:ascii="方正仿宋_GB2312" w:hAnsi="方正仿宋_GB2312" w:eastAsia="方正仿宋_GB2312" w:cs="方正仿宋_GB2312"/>
                <w:b w:val="0"/>
                <w:bCs w:val="0"/>
                <w:sz w:val="32"/>
                <w:szCs w:val="32"/>
                <w:lang w:val="en-US" w:eastAsia="zh-CN"/>
              </w:rPr>
            </w:pPr>
            <w:r>
              <w:rPr>
                <w:rFonts w:hint="default" w:ascii="Times New Roman" w:hAnsi="仿宋_GB2312" w:eastAsia="仿宋_GB2312" w:cs="仿宋_GB2312"/>
                <w:b w:val="0"/>
                <w:bCs w:val="0"/>
                <w:i w:val="0"/>
                <w:caps w:val="0"/>
                <w:snapToGrid/>
                <w:color w:val="000000"/>
                <w:spacing w:val="0"/>
                <w:w w:val="100"/>
                <w:sz w:val="32"/>
                <w:szCs w:val="24"/>
                <w:u w:val="none"/>
                <w:lang w:val="en-US" w:eastAsia="zh-CN"/>
              </w:rPr>
              <w:t>中牟县中医院</w:t>
            </w:r>
            <w:r>
              <w:rPr>
                <w:rFonts w:hint="eastAsia" w:ascii="Times New Roman" w:hAnsi="仿宋_GB2312" w:eastAsia="仿宋_GB2312" w:cs="仿宋_GB2312"/>
                <w:b w:val="0"/>
                <w:bCs w:val="0"/>
                <w:i w:val="0"/>
                <w:caps w:val="0"/>
                <w:snapToGrid/>
                <w:color w:val="000000"/>
                <w:spacing w:val="0"/>
                <w:w w:val="100"/>
                <w:sz w:val="32"/>
                <w:szCs w:val="24"/>
                <w:u w:val="none"/>
                <w:lang w:val="en-US" w:eastAsia="zh-CN"/>
              </w:rPr>
              <w:t>县域紧密型医供体</w:t>
            </w:r>
            <w:r>
              <w:rPr>
                <w:rFonts w:hint="eastAsia" w:ascii="方正仿宋_GB2312" w:hAnsi="方正仿宋_GB2312" w:eastAsia="方正仿宋_GB2312" w:cs="方正仿宋_GB2312"/>
                <w:b w:val="0"/>
                <w:bCs w:val="0"/>
                <w:sz w:val="32"/>
                <w:szCs w:val="32"/>
                <w:lang w:val="en-US" w:eastAsia="zh-CN"/>
              </w:rPr>
              <w:t>接入郑州市区域处方点评与审方中心服务</w:t>
            </w:r>
          </w:p>
          <w:p>
            <w:pPr>
              <w:widowControl/>
              <w:autoSpaceDE/>
              <w:autoSpaceDN/>
              <w:snapToGrid w:val="0"/>
              <w:spacing w:beforeAutospacing="0" w:afterAutospacing="0" w:line="240" w:lineRule="auto"/>
              <w:ind w:right="0" w:rightChars="0" w:firstLine="640" w:firstLineChars="200"/>
              <w:jc w:val="both"/>
              <w:outlineLvl w:val="9"/>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满足《郑州市卫生健康委员会关于全面推进郑州市区域处方点评与审方中心二期项目的通知》的要求。</w:t>
            </w:r>
          </w:p>
          <w:p>
            <w:pPr>
              <w:widowControl/>
              <w:autoSpaceDE/>
              <w:autoSpaceDN/>
              <w:snapToGrid w:val="0"/>
              <w:spacing w:beforeAutospacing="0" w:afterAutospacing="0" w:line="240" w:lineRule="auto"/>
              <w:ind w:right="0" w:rightChars="0" w:firstLine="640" w:firstLineChars="200"/>
              <w:jc w:val="both"/>
              <w:outlineLvl w:val="9"/>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实施范围：</w:t>
            </w:r>
            <w:r>
              <w:rPr>
                <w:rFonts w:hint="default" w:ascii="Times New Roman" w:hAnsi="仿宋_GB2312" w:eastAsia="仿宋_GB2312" w:cs="仿宋_GB2312"/>
                <w:b w:val="0"/>
                <w:bCs w:val="0"/>
                <w:i w:val="0"/>
                <w:caps w:val="0"/>
                <w:snapToGrid/>
                <w:color w:val="000000"/>
                <w:spacing w:val="0"/>
                <w:w w:val="100"/>
                <w:sz w:val="32"/>
                <w:szCs w:val="24"/>
                <w:u w:val="none"/>
                <w:lang w:val="en-US" w:eastAsia="zh-CN"/>
              </w:rPr>
              <w:t>中牟县中医院</w:t>
            </w:r>
            <w:r>
              <w:rPr>
                <w:rFonts w:hint="eastAsia" w:ascii="Times New Roman" w:hAnsi="仿宋_GB2312" w:eastAsia="仿宋_GB2312" w:cs="仿宋_GB2312"/>
                <w:b w:val="0"/>
                <w:bCs w:val="0"/>
                <w:i w:val="0"/>
                <w:caps w:val="0"/>
                <w:snapToGrid/>
                <w:color w:val="000000"/>
                <w:spacing w:val="0"/>
                <w:w w:val="100"/>
                <w:sz w:val="32"/>
                <w:szCs w:val="24"/>
                <w:u w:val="none"/>
                <w:lang w:val="en-US" w:eastAsia="zh-CN"/>
              </w:rPr>
              <w:t>下辖5家县域紧密型医供体成员单位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B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2026-05-07T01:15:33Z</dcterms:created>
  <dc:creator>admin</dc:creator>
  <cp:lastModifiedBy>admin</cp:lastModifiedBy>
  <dcterms:modified xsi:type="dcterms:W3CDTF">2026-05-07T01:15:53Z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